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png" ContentType="image/png"/>
  <Override PartName="/word/media/rId65.png" ContentType="image/png"/>
  <Override PartName="/word/media/rId97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61.png" ContentType="image/png"/>
  <Override PartName="/word/media/rId93.png" ContentType="image/png"/>
  <Override PartName="/word/media/rId55.png" ContentType="image/png"/>
  <Override PartName="/word/media/rId87.png" ContentType="image/png"/>
  <Override PartName="/word/media/rId83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jpg" ContentType="image/jpeg"/>
  <Override PartName="/word/media/rId46.png" ContentType="image/png"/>
  <Override PartName="/word/media/rId42.png" ContentType="image/png"/>
  <Override PartName="/word/media/rId50.png" ContentType="image/png"/>
  <Override PartName="/word/media/rId70.png" ContentType="image/png"/>
  <Override PartName="/word/media/rId74.png" ContentType="image/png"/>
  <Override PartName="/word/media/rId7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p>
      <w:pPr>
        <w:pStyle w:val="Author"/>
      </w:pPr>
      <w:r>
        <w:t xml:space="preserve">НКНбд-01-22;</w:t>
      </w:r>
    </w:p>
    <w:p>
      <w:pPr>
        <w:pStyle w:val="Author"/>
      </w:pPr>
      <w:r>
        <w:t xml:space="preserve">Аристид</w:t>
      </w:r>
      <w:r>
        <w:t xml:space="preserve"> </w:t>
      </w:r>
      <w:r>
        <w:t xml:space="preserve">Жан,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Сатеник,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Виктор,</w:t>
      </w:r>
    </w:p>
    <w:p>
      <w:pPr>
        <w:pStyle w:val="Author"/>
      </w:pPr>
      <w:r>
        <w:t xml:space="preserve">Нве</w:t>
      </w:r>
      <w:r>
        <w:t xml:space="preserve"> </w:t>
      </w:r>
      <w:r>
        <w:t xml:space="preserve">Манге</w:t>
      </w:r>
      <w:r>
        <w:t xml:space="preserve"> </w:t>
      </w:r>
      <w:r>
        <w:t xml:space="preserve">Хосе</w:t>
      </w:r>
      <w:r>
        <w:t xml:space="preserve"> </w:t>
      </w:r>
      <w:r>
        <w:t xml:space="preserve">Херсон</w:t>
      </w:r>
      <w:r>
        <w:t xml:space="preserve"> </w:t>
      </w:r>
      <w:r>
        <w:t xml:space="preserve">Мико,</w:t>
      </w:r>
    </w:p>
    <w:p>
      <w:pPr>
        <w:pStyle w:val="Author"/>
      </w:pPr>
      <w:r>
        <w:t xml:space="preserve">Эспиноса</w:t>
      </w:r>
      <w:r>
        <w:t xml:space="preserve"> </w:t>
      </w:r>
      <w:r>
        <w:t xml:space="preserve">Висилита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Микаела,</w:t>
      </w:r>
    </w:p>
    <w:p>
      <w:pPr>
        <w:pStyle w:val="Author"/>
      </w:pPr>
      <w:r>
        <w:t xml:space="preserve">НПИбд-01-22;</w:t>
      </w:r>
    </w:p>
    <w:p>
      <w:pPr>
        <w:pStyle w:val="Author"/>
      </w:pPr>
      <w:r>
        <w:t xml:space="preserve">Стариков</w:t>
      </w:r>
      <w:r>
        <w:t xml:space="preserve"> </w:t>
      </w:r>
      <w:r>
        <w:t xml:space="preserve">Данила,</w:t>
      </w:r>
    </w:p>
    <w:p>
      <w:pPr>
        <w:pStyle w:val="Author"/>
      </w:pPr>
      <w:r>
        <w:t xml:space="preserve">НФИбд-02-22;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данной лабораторной работы заключается в выполнении тренировки</w:t>
      </w:r>
      <w:r>
        <w:t xml:space="preserve"> </w:t>
      </w:r>
      <w:r>
        <w:t xml:space="preserve">“</w:t>
      </w:r>
      <w:r>
        <w:t xml:space="preserve">Защита контроллера домена предприятия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необходимо освоить практические навыки выявления, анализа и устранения уязвимостей в различных системах, а также освоить навыки отработки действий по нейтрализации последствий успешных атак</w:t>
      </w:r>
      <w:r>
        <w:t xml:space="preserve">[1]</w:t>
      </w:r>
      <w:r>
        <w:t xml:space="preserve">.</w:t>
      </w:r>
    </w:p>
    <w:bookmarkEnd w:id="20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легенда-защита-интеграционной-платфор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Легенда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</w:p>
    <w:p>
      <w:pPr>
        <w:pStyle w:val="FirstParagraph"/>
      </w:pPr>
      <w:r>
        <w:t xml:space="preserve">Внешний злоумышленник находит в интернете сайт Компании и решает провести атаку на него с целью получения доступа к внутренним ресурсам компании. Обнаружив несколько уязвимостей на внешнем периметре и закрепившись на одном из серверов, Злоумышленник проводит разведку корпоративной сети с целью захватить контроллер домена.</w:t>
      </w:r>
    </w:p>
    <w:p>
      <w:pPr>
        <w:pStyle w:val="BodyText"/>
      </w:pPr>
      <w:r>
        <w:t xml:space="preserve">Квалификация нарушителя средняя. Он умеет использовать инструментарий для проведения атак, а также знает техники постэксплуатации.</w:t>
      </w:r>
    </w:p>
    <w:p>
      <w:pPr>
        <w:pStyle w:val="BodyText"/>
      </w:pPr>
      <w:r>
        <w:t xml:space="preserve">Злоумышленник обладает опытом проведения почтовых фишинговых рассылок</w:t>
      </w:r>
      <w:r>
        <w:t xml:space="preserve">[2]</w:t>
      </w:r>
      <w:r>
        <w:t xml:space="preserve">.</w:t>
      </w:r>
    </w:p>
    <w:bookmarkEnd w:id="21"/>
    <w:bookmarkStart w:id="22" w:name="описание-сценария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Описание сценария</w:t>
      </w:r>
    </w:p>
    <w:p>
      <w:pPr>
        <w:pStyle w:val="FirstParagraph"/>
      </w:pPr>
      <w:r>
        <w:t xml:space="preserve">Последовательность действий нарушителя следующая:</w:t>
      </w:r>
    </w:p>
    <w:p>
      <w:pPr>
        <w:numPr>
          <w:ilvl w:val="0"/>
          <w:numId w:val="1001"/>
        </w:numPr>
        <w:pStyle w:val="Compact"/>
      </w:pPr>
      <w:r>
        <w:t xml:space="preserve">Нарушитель проводит сканирование сети 195.239.174.0/24 и находит веб-сервер. Далее сканирует веб-сервер на предмет SQL-инъекций утилитой sqlmap. Нарушитель генерирует php reverse shell, используя найденную SQL-инъекцию, загружает вредоносный файл на веб-сервер. Для закрепления на хосте нарушитель устанавливает meterpreter-соединение.</w:t>
      </w:r>
    </w:p>
    <w:p>
      <w:pPr>
        <w:numPr>
          <w:ilvl w:val="0"/>
          <w:numId w:val="1001"/>
        </w:numPr>
        <w:pStyle w:val="Compact"/>
      </w:pPr>
      <w:r>
        <w:t xml:space="preserve">Нарушитель определяет маршрут к сети 10.10.2.0/24, сканирует сеть и находит почтовый сервер. Нарушитель генерирует письмо с вредоносным вложением и отправляет администратору.</w:t>
      </w:r>
    </w:p>
    <w:p>
      <w:pPr>
        <w:numPr>
          <w:ilvl w:val="0"/>
          <w:numId w:val="1001"/>
        </w:numPr>
        <w:pStyle w:val="Compact"/>
      </w:pPr>
      <w:r>
        <w:t xml:space="preserve">Администратор открывает письмо, запускается вредоносный скрипт.</w:t>
      </w:r>
    </w:p>
    <w:p>
      <w:pPr>
        <w:numPr>
          <w:ilvl w:val="0"/>
          <w:numId w:val="1001"/>
        </w:numPr>
        <w:pStyle w:val="Compact"/>
      </w:pPr>
      <w:r>
        <w:t xml:space="preserve">Нарушитель получает контроль над компьютером администратора и meterpreter-сессию.</w:t>
      </w:r>
    </w:p>
    <w:p>
      <w:pPr>
        <w:numPr>
          <w:ilvl w:val="0"/>
          <w:numId w:val="1001"/>
        </w:numPr>
        <w:pStyle w:val="Compact"/>
      </w:pPr>
      <w:r>
        <w:t xml:space="preserve">Нарушитель находит AD&amp;DNS сервер, проверяет, открыт ли порт 3389 (стандартный порт RDP). В случае открытого порта 3389 пытается с помощью инструмента hydra получить доступ к AD&amp;DNS серверу, перебирая пароль по словарю. Для закрепления на контроллере домена нарушитель добавляет нового привилегированного пользователя.</w:t>
      </w:r>
    </w:p>
    <w:bookmarkEnd w:id="22"/>
    <w:bookmarkStart w:id="23" w:name="пояснения-уязвимостей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Пояснения уязвимостей</w:t>
      </w:r>
    </w:p>
    <w:p>
      <w:pPr>
        <w:pStyle w:val="FirstParagraph"/>
      </w:pPr>
      <w:r>
        <w:t xml:space="preserve">Уязвимости и последствия:</w:t>
      </w:r>
    </w:p>
    <w:p>
      <w:pPr>
        <w:numPr>
          <w:ilvl w:val="0"/>
          <w:numId w:val="1002"/>
        </w:numPr>
        <w:pStyle w:val="Compact"/>
      </w:pPr>
      <w:r>
        <w:t xml:space="preserve">SQL-инъекция -&gt; Web portal meterpreter</w:t>
      </w:r>
    </w:p>
    <w:p>
      <w:pPr>
        <w:numPr>
          <w:ilvl w:val="0"/>
          <w:numId w:val="1002"/>
        </w:numPr>
        <w:pStyle w:val="Compact"/>
      </w:pPr>
      <w:r>
        <w:t xml:space="preserve">Отключенная защита антивируса -&gt; Admin meterpreter</w:t>
      </w:r>
    </w:p>
    <w:p>
      <w:pPr>
        <w:numPr>
          <w:ilvl w:val="0"/>
          <w:numId w:val="1002"/>
        </w:numPr>
        <w:pStyle w:val="Compact"/>
      </w:pPr>
      <w:r>
        <w:t xml:space="preserve">Слабый пароль учетной записи -&gt; Добавление привилегированного пользователя</w:t>
      </w:r>
    </w:p>
    <w:bookmarkEnd w:id="23"/>
    <w:bookmarkEnd w:id="24"/>
    <w:bookmarkStart w:id="12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60" w:name="первый-инцидент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Первый инцидент</w:t>
      </w:r>
    </w:p>
    <w:bookmarkStart w:id="41" w:name="обнаружение-уязвимости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Обнаружение уязвимости</w:t>
      </w:r>
    </w:p>
    <w:p>
      <w:pPr>
        <w:pStyle w:val="FirstParagraph"/>
      </w:pPr>
      <w:r>
        <w:t xml:space="preserve">Сетевой сенсор ViPNet IDS NS</w:t>
      </w:r>
      <w:r>
        <w:t xml:space="preserve">[3]</w:t>
      </w:r>
      <w:r>
        <w:t xml:space="preserve"> </w:t>
      </w:r>
      <w:r>
        <w:t xml:space="preserve">детектирует события сканирования веб-сервера на предмет SQL-инъекций(рис. 1), использование определенного типа инъекции (Blind SQL-Injection)(рис. 2), а также загрузку вредоносного файла с php скриптом и выставление права доступа на выполнение(рис. 3).</w:t>
      </w:r>
    </w:p>
    <w:p>
      <w:pPr>
        <w:pStyle w:val="CaptionedFigure"/>
      </w:pPr>
      <w:bookmarkStart w:id="28" w:name="fig:001"/>
      <w:r>
        <w:drawing>
          <wp:inline>
            <wp:extent cx="5334000" cy="3014641"/>
            <wp:effectExtent b="0" l="0" r="0" t="0"/>
            <wp:docPr descr="Рис. 1: Сканирование на предмет SQL-инъекций" title="" id="26" name="Picture"/>
            <a:graphic>
              <a:graphicData uri="http://schemas.openxmlformats.org/drawingml/2006/picture">
                <pic:pic>
                  <pic:nvPicPr>
                    <pic:cNvPr descr="image/o_1_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4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1: Сканирование на предмет SQL-инъекций</w:t>
      </w:r>
    </w:p>
    <w:p>
      <w:pPr>
        <w:pStyle w:val="CaptionedFigure"/>
      </w:pPr>
      <w:bookmarkStart w:id="32" w:name="fig:002"/>
      <w:r>
        <w:drawing>
          <wp:inline>
            <wp:extent cx="5334000" cy="3026906"/>
            <wp:effectExtent b="0" l="0" r="0" t="0"/>
            <wp:docPr descr="Рис. 2: Детектирование SQL-инъекции" title="" id="30" name="Picture"/>
            <a:graphic>
              <a:graphicData uri="http://schemas.openxmlformats.org/drawingml/2006/picture">
                <pic:pic>
                  <pic:nvPicPr>
                    <pic:cNvPr descr="image/o_1_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2: Детектирование SQL-инъекции</w:t>
      </w:r>
    </w:p>
    <w:p>
      <w:pPr>
        <w:pStyle w:val="CaptionedFigure"/>
      </w:pPr>
      <w:bookmarkStart w:id="36" w:name="fig:003"/>
      <w:r>
        <w:drawing>
          <wp:inline>
            <wp:extent cx="5334000" cy="3048374"/>
            <wp:effectExtent b="0" l="0" r="0" t="0"/>
            <wp:docPr descr="Рис. 3: Загрузка вредоносного файла и выставление права доступа на выполнение" title="" id="34" name="Picture"/>
            <a:graphic>
              <a:graphicData uri="http://schemas.openxmlformats.org/drawingml/2006/picture">
                <pic:pic>
                  <pic:nvPicPr>
                    <pic:cNvPr descr="image/o_1_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Загрузка вредоносного файла и выставление права доступа на выполнение</w:t>
      </w:r>
    </w:p>
    <w:p>
      <w:pPr>
        <w:pStyle w:val="BodyText"/>
      </w:pPr>
      <w:r>
        <w:t xml:space="preserve">Заполним карточку первого инцидента(рис. 4).</w:t>
      </w:r>
    </w:p>
    <w:p>
      <w:pPr>
        <w:pStyle w:val="CaptionedFigure"/>
      </w:pPr>
      <w:bookmarkStart w:id="40" w:name="fig:004"/>
      <w:r>
        <w:drawing>
          <wp:inline>
            <wp:extent cx="5334000" cy="3104668"/>
            <wp:effectExtent b="0" l="0" r="0" t="0"/>
            <wp:docPr descr="Рис. 4: Карточка первого инцидента" title="" id="38" name="Picture"/>
            <a:graphic>
              <a:graphicData uri="http://schemas.openxmlformats.org/drawingml/2006/picture">
                <pic:pic>
                  <pic:nvPicPr>
                    <pic:cNvPr descr="image/c_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4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Карточка первого инцидента</w:t>
      </w:r>
    </w:p>
    <w:bookmarkEnd w:id="41"/>
    <w:bookmarkStart w:id="54" w:name="устранение-уязвимости-sql-инъекция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Устранение уязвимости</w:t>
      </w:r>
      <w:r>
        <w:t xml:space="preserve"> </w:t>
      </w:r>
      <w:r>
        <w:t xml:space="preserve">“</w:t>
      </w:r>
      <w:r>
        <w:t xml:space="preserve">SQL-инъекция</w:t>
      </w:r>
      <w:r>
        <w:t xml:space="preserve">”</w:t>
      </w:r>
    </w:p>
    <w:p>
      <w:pPr>
        <w:pStyle w:val="FirstParagraph"/>
      </w:pPr>
      <w:r>
        <w:t xml:space="preserve">Решение: известно, что $id является уязвимым параметром, следует проверять тип данного параметра. Требуется найти место кода, где данный параметр считывается из GET запроса (рис. 5).</w:t>
      </w:r>
    </w:p>
    <w:p>
      <w:pPr>
        <w:pStyle w:val="CaptionedFigure"/>
      </w:pPr>
      <w:bookmarkStart w:id="45" w:name="fig:005"/>
      <w:r>
        <w:drawing>
          <wp:inline>
            <wp:extent cx="5334000" cy="1823325"/>
            <wp:effectExtent b="0" l="0" r="0" t="0"/>
            <wp:docPr descr="Рис. 5: Поиск места уязвимого параметра" title="" id="43" name="Picture"/>
            <a:graphic>
              <a:graphicData uri="http://schemas.openxmlformats.org/drawingml/2006/picture">
                <pic:pic>
                  <pic:nvPicPr>
                    <pic:cNvPr descr="image/y_1_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5: Поиск места уязвимого параметра</w:t>
      </w:r>
    </w:p>
    <w:p>
      <w:pPr>
        <w:pStyle w:val="BodyText"/>
      </w:pPr>
      <w:r>
        <w:t xml:space="preserve">Считывание параметра сайта происходит в функции actionView() в файле NewsController.php (рис. 6).</w:t>
      </w:r>
    </w:p>
    <w:p>
      <w:pPr>
        <w:pStyle w:val="CaptionedFigure"/>
      </w:pPr>
      <w:bookmarkStart w:id="49" w:name="fig:006"/>
      <w:r>
        <w:drawing>
          <wp:inline>
            <wp:extent cx="5334000" cy="3333750"/>
            <wp:effectExtent b="0" l="0" r="0" t="0"/>
            <wp:docPr descr="Рис. 6: Параметры уязвимой функции" title="" id="47" name="Picture"/>
            <a:graphic>
              <a:graphicData uri="http://schemas.openxmlformats.org/drawingml/2006/picture">
                <pic:pic>
                  <pic:nvPicPr>
                    <pic:cNvPr descr="image/y_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6: Параметры уязвимой функции</w:t>
      </w:r>
    </w:p>
    <w:p>
      <w:pPr>
        <w:pStyle w:val="BodyText"/>
      </w:pPr>
      <w:r>
        <w:t xml:space="preserve">Для проверки типа $id используется функция is_numeric, которая возвращает True в случае, если $id – число, иначе – False. В случае успешной проверки параметр $id будет передаваться в запрос, иначе – запрос будет статичным и независимым от $id (рис. 7).</w:t>
      </w:r>
    </w:p>
    <w:p>
      <w:pPr>
        <w:pStyle w:val="CaptionedFigure"/>
      </w:pPr>
      <w:bookmarkStart w:id="53" w:name="fig:007"/>
      <w:r>
        <w:drawing>
          <wp:inline>
            <wp:extent cx="5334000" cy="3000374"/>
            <wp:effectExtent b="0" l="0" r="0" t="0"/>
            <wp:docPr descr="Рис. 7: Измененная функция actionView с проверкой типа параметра $id" title="" id="51" name="Picture"/>
            <a:graphic>
              <a:graphicData uri="http://schemas.openxmlformats.org/drawingml/2006/picture">
                <pic:pic>
                  <pic:nvPicPr>
                    <pic:cNvPr descr="image/y_1_2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7: Измененная функция actionView с проверкой типа параметра $id</w:t>
      </w:r>
    </w:p>
    <w:p>
      <w:pPr>
        <w:pStyle w:val="BodyText"/>
      </w:pPr>
      <w:r>
        <w:t xml:space="preserve">После внесения изменений в файл конфигурации и проверки значения параметра $id уязвимость SQL-инъекции успешно устранена</w:t>
      </w:r>
      <w:r>
        <w:t xml:space="preserve">[4]</w:t>
      </w:r>
      <w:r>
        <w:t xml:space="preserve">.</w:t>
      </w:r>
    </w:p>
    <w:bookmarkEnd w:id="54"/>
    <w:bookmarkStart w:id="59" w:name="последствие-web-portal-meterpreter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Последствие Web portal meterpreter</w:t>
      </w:r>
    </w:p>
    <w:p>
      <w:pPr>
        <w:pStyle w:val="FirstParagraph"/>
      </w:pPr>
      <w:r>
        <w:t xml:space="preserve">Нарушитель устанавливает shell сессию с веб-порталом PHP. Для обнаружения последствия необходимо проверить сокеты уязвимой машины при помощи утилиты ss с ключами –tp(рис. 8).</w:t>
      </w:r>
    </w:p>
    <w:p>
      <w:pPr>
        <w:pStyle w:val="BodyText"/>
      </w:pPr>
      <w:r>
        <w:t xml:space="preserve">На скриншоте изображено активное соединение веб-портала с IP-адресом нарушителя (195.239.174.11). Необходимо устранить соединение, воспользовавшись командой kill (рис. 8).</w:t>
      </w:r>
    </w:p>
    <w:p>
      <w:pPr>
        <w:pStyle w:val="CaptionedFigure"/>
      </w:pPr>
      <w:bookmarkStart w:id="58" w:name="fig:008"/>
      <w:r>
        <w:drawing>
          <wp:inline>
            <wp:extent cx="5334000" cy="1143000"/>
            <wp:effectExtent b="0" l="0" r="0" t="0"/>
            <wp:docPr descr="Рис. 8: Завершение сессии с нарушителем" title="" id="56" name="Picture"/>
            <a:graphic>
              <a:graphicData uri="http://schemas.openxmlformats.org/drawingml/2006/picture">
                <pic:pic>
                  <pic:nvPicPr>
                    <pic:cNvPr descr="image/p_1_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8: Завершение сессии с нарушителем</w:t>
      </w:r>
    </w:p>
    <w:p>
      <w:pPr>
        <w:pStyle w:val="BodyText"/>
      </w:pPr>
      <w:r>
        <w:t xml:space="preserve">В результате выполнения команды сессия с нарушителем завершена, последствие Web portal meterpreter успешно устранено</w:t>
      </w:r>
      <w:r>
        <w:t xml:space="preserve">[4]</w:t>
      </w:r>
      <w:r>
        <w:t xml:space="preserve">.</w:t>
      </w:r>
    </w:p>
    <w:bookmarkEnd w:id="59"/>
    <w:bookmarkEnd w:id="60"/>
    <w:bookmarkStart w:id="92" w:name="второй-инцидент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Второй инцидент</w:t>
      </w:r>
    </w:p>
    <w:bookmarkStart w:id="69" w:name="обнаружение-уязвимости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Обнаружение уязвимости</w:t>
      </w:r>
    </w:p>
    <w:p>
      <w:pPr>
        <w:pStyle w:val="FirstParagraph"/>
      </w:pPr>
      <w:r>
        <w:t xml:space="preserve">Один из способов проверки состояния защиты в реальном времени Windows Defender – в Powershell ввести команду Get-MpPreference и проверить значение параметра DisableRealtimeMonitoring. Если значение – True, то защита в реальном времени выключена(рис. 9).</w:t>
      </w:r>
    </w:p>
    <w:p>
      <w:pPr>
        <w:pStyle w:val="CaptionedFigure"/>
      </w:pPr>
      <w:bookmarkStart w:id="64" w:name="fig:009"/>
      <w:r>
        <w:drawing>
          <wp:inline>
            <wp:extent cx="5334000" cy="3333750"/>
            <wp:effectExtent b="0" l="0" r="0" t="0"/>
            <wp:docPr descr="Рис. 9: Настройки Windows Defender" title="" id="62" name="Picture"/>
            <a:graphic>
              <a:graphicData uri="http://schemas.openxmlformats.org/drawingml/2006/picture">
                <pic:pic>
                  <pic:nvPicPr>
                    <pic:cNvPr descr="image/o_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9: Настройки Windows Defender</w:t>
      </w:r>
    </w:p>
    <w:p>
      <w:pPr>
        <w:pStyle w:val="BodyText"/>
      </w:pPr>
      <w:r>
        <w:t xml:space="preserve">На вышеупомянутом рисунке изображено значение «true» параметра DisableRealtimeMonitoring, что означает отключенную защиту антивируса на узле.</w:t>
      </w:r>
    </w:p>
    <w:p>
      <w:pPr>
        <w:pStyle w:val="BodyText"/>
      </w:pPr>
      <w:r>
        <w:t xml:space="preserve">Заполним карточку второго инцидента(рис. 10).</w:t>
      </w:r>
    </w:p>
    <w:p>
      <w:pPr>
        <w:pStyle w:val="CaptionedFigure"/>
      </w:pPr>
      <w:bookmarkStart w:id="68" w:name="fig:010"/>
      <w:r>
        <w:drawing>
          <wp:inline>
            <wp:extent cx="5334000" cy="2747331"/>
            <wp:effectExtent b="0" l="0" r="0" t="0"/>
            <wp:docPr descr="Рис. 10: Карточка второго инцидента" title="" id="66" name="Picture"/>
            <a:graphic>
              <a:graphicData uri="http://schemas.openxmlformats.org/drawingml/2006/picture">
                <pic:pic>
                  <pic:nvPicPr>
                    <pic:cNvPr descr="image/c_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7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10: Карточка второго инцидента</w:t>
      </w:r>
    </w:p>
    <w:bookmarkEnd w:id="69"/>
    <w:bookmarkStart w:id="82" w:name="X791f92f011ada3f044467d716902e4adfb3c56d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Устранение уязвимости</w:t>
      </w:r>
      <w:r>
        <w:t xml:space="preserve"> </w:t>
      </w:r>
      <w:r>
        <w:t xml:space="preserve">“</w:t>
      </w:r>
      <w:r>
        <w:t xml:space="preserve">Отключенная защита антивируса</w:t>
      </w:r>
      <w:r>
        <w:t xml:space="preserve">”</w:t>
      </w:r>
    </w:p>
    <w:p>
      <w:pPr>
        <w:pStyle w:val="FirstParagraph"/>
      </w:pPr>
      <w:r>
        <w:t xml:space="preserve">Решение: на узле Administrator Workstation вручную удалить запись в реестре или через консоль, используя команду(рис. 11): REG DELETE «HKLM/SOFTWARE/Policies/Microsoft/Windows Defender» /v DisableAntiSpyware. Подтвердить действие, далее в Windows Defender</w:t>
      </w:r>
      <w:r>
        <w:t xml:space="preserve"> </w:t>
      </w:r>
      <w:r>
        <w:t xml:space="preserve">перезапустить Virus &amp; Threat Protection (рис. 12) и включить Real-time Protection (рис. 13).</w:t>
      </w:r>
    </w:p>
    <w:p>
      <w:pPr>
        <w:pStyle w:val="CaptionedFigure"/>
      </w:pPr>
      <w:bookmarkStart w:id="73" w:name="fig:011"/>
      <w:r>
        <w:drawing>
          <wp:inline>
            <wp:extent cx="5334000" cy="3333750"/>
            <wp:effectExtent b="0" l="0" r="0" t="0"/>
            <wp:docPr descr="Рис. 11: Удаление записи DisableAntiSpyware в реестре" title="" id="71" name="Picture"/>
            <a:graphic>
              <a:graphicData uri="http://schemas.openxmlformats.org/drawingml/2006/picture">
                <pic:pic>
                  <pic:nvPicPr>
                    <pic:cNvPr descr="image/y_2_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11: Удаление записи DisableAntiSpyware в реестре</w:t>
      </w:r>
    </w:p>
    <w:p>
      <w:pPr>
        <w:pStyle w:val="CaptionedFigure"/>
      </w:pPr>
      <w:bookmarkStart w:id="77" w:name="fig:012"/>
      <w:r>
        <w:drawing>
          <wp:inline>
            <wp:extent cx="5334000" cy="3494120"/>
            <wp:effectExtent b="0" l="0" r="0" t="0"/>
            <wp:docPr descr="Рис. 12: Интерфейс Windows Defender" title="" id="75" name="Picture"/>
            <a:graphic>
              <a:graphicData uri="http://schemas.openxmlformats.org/drawingml/2006/picture">
                <pic:pic>
                  <pic:nvPicPr>
                    <pic:cNvPr descr="image/y_2_2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4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12: Интерфейс Windows Defender</w:t>
      </w:r>
    </w:p>
    <w:p>
      <w:pPr>
        <w:pStyle w:val="CaptionedFigure"/>
      </w:pPr>
      <w:bookmarkStart w:id="81" w:name="fig:013"/>
      <w:r>
        <w:drawing>
          <wp:inline>
            <wp:extent cx="5334000" cy="2349170"/>
            <wp:effectExtent b="0" l="0" r="0" t="0"/>
            <wp:docPr descr="Рис. 13: Включение Real-time Protection" title="" id="79" name="Picture"/>
            <a:graphic>
              <a:graphicData uri="http://schemas.openxmlformats.org/drawingml/2006/picture">
                <pic:pic>
                  <pic:nvPicPr>
                    <pic:cNvPr descr="image/y_2_3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13: Включение Real-time Protection</w:t>
      </w:r>
    </w:p>
    <w:p>
      <w:pPr>
        <w:pStyle w:val="BodyText"/>
      </w:pPr>
      <w:r>
        <w:t xml:space="preserve">После удаления записи реестра и включения защиты антивирусной программы Microsoft Defender необходимо перезагрузить Windows</w:t>
      </w:r>
      <w:r>
        <w:t xml:space="preserve">[4]</w:t>
      </w:r>
      <w:r>
        <w:t xml:space="preserve">.</w:t>
      </w:r>
    </w:p>
    <w:bookmarkEnd w:id="82"/>
    <w:bookmarkStart w:id="91" w:name="последствие-admin-meterpreter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Последствие Admin meterpreter</w:t>
      </w:r>
    </w:p>
    <w:p>
      <w:pPr>
        <w:pStyle w:val="FirstParagraph"/>
      </w:pPr>
      <w:r>
        <w:t xml:space="preserve">Установленную сессию с нарушителем можно обнаружить при помощи утилиты netstat с ключами -ano(рис. 14).</w:t>
      </w:r>
    </w:p>
    <w:p>
      <w:pPr>
        <w:pStyle w:val="CaptionedFigure"/>
      </w:pPr>
      <w:bookmarkStart w:id="86" w:name="fig:014"/>
      <w:r>
        <w:drawing>
          <wp:inline>
            <wp:extent cx="5334000" cy="2876654"/>
            <wp:effectExtent b="0" l="0" r="0" t="0"/>
            <wp:docPr descr="Рис. 14: Соединение с машиной нарушителя" title="" id="84" name="Picture"/>
            <a:graphic>
              <a:graphicData uri="http://schemas.openxmlformats.org/drawingml/2006/picture">
                <pic:pic>
                  <pic:nvPicPr>
                    <pic:cNvPr descr="image/p_2_1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6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14: Соединение с машиной нарушителя</w:t>
      </w:r>
    </w:p>
    <w:p>
      <w:pPr>
        <w:pStyle w:val="BodyText"/>
      </w:pPr>
      <w:r>
        <w:t xml:space="preserve">Для устранения необходимо завершить сессию с машиной нарушителя. Например, при помощи команды taskkill /f /pid</w:t>
      </w:r>
      <w:r>
        <w:t xml:space="preserve"> </w:t>
      </w:r>
      <w:r>
        <w:t xml:space="preserve"> </w:t>
      </w:r>
      <w:r>
        <w:t xml:space="preserve">(рис. 15).</w:t>
      </w:r>
    </w:p>
    <w:p>
      <w:pPr>
        <w:pStyle w:val="CaptionedFigure"/>
      </w:pPr>
      <w:bookmarkStart w:id="90" w:name="fig:015"/>
      <w:r>
        <w:drawing>
          <wp:inline>
            <wp:extent cx="5334000" cy="3333750"/>
            <wp:effectExtent b="0" l="0" r="0" t="0"/>
            <wp:docPr descr="Рис. 15: Остановка процесса" title="" id="88" name="Picture"/>
            <a:graphic>
              <a:graphicData uri="http://schemas.openxmlformats.org/drawingml/2006/picture">
                <pic:pic>
                  <pic:nvPicPr>
                    <pic:cNvPr descr="image/p_2_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15: Остановка процесса</w:t>
      </w:r>
    </w:p>
    <w:p>
      <w:pPr>
        <w:pStyle w:val="BodyText"/>
      </w:pPr>
      <w:r>
        <w:t xml:space="preserve">В результате выполнения команды сессия с машиной нарушителя завершена, последствие Admin meterpreter успешно устранено</w:t>
      </w:r>
      <w:r>
        <w:t xml:space="preserve">[4]</w:t>
      </w:r>
      <w:r>
        <w:t xml:space="preserve">.</w:t>
      </w:r>
    </w:p>
    <w:bookmarkEnd w:id="91"/>
    <w:bookmarkEnd w:id="92"/>
    <w:bookmarkStart w:id="124" w:name="третий-инцидент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Третий инцидент</w:t>
      </w:r>
    </w:p>
    <w:bookmarkStart w:id="101" w:name="обнаружение-уязвимости-2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Обнаружение уязвимости</w:t>
      </w:r>
    </w:p>
    <w:p>
      <w:pPr>
        <w:pStyle w:val="FirstParagraph"/>
      </w:pPr>
      <w:r>
        <w:t xml:space="preserve">С помощью ViPNet IDS NS</w:t>
      </w:r>
      <w:r>
        <w:t xml:space="preserve">[3]</w:t>
      </w:r>
      <w:r>
        <w:t xml:space="preserve"> </w:t>
      </w:r>
      <w:r>
        <w:t xml:space="preserve">в сетевом трафике обнаруживаются множественные попытки подключения к хосту AD&amp;DNS с портом 3389, сканирование системы, что может говорить о попытках подбора пароля. Также если мы зайдем на сам узел MS Active Directory, откроем Viewer Properties, перейдем в необходимую директорию с событиями (TerminalServeces…), то сможем увидеть событие с кодом 1149, которое говорит о том, что пользователю удалось подключиться по RDP(рис. 16).</w:t>
      </w:r>
    </w:p>
    <w:p>
      <w:pPr>
        <w:pStyle w:val="CaptionedFigure"/>
      </w:pPr>
      <w:bookmarkStart w:id="96" w:name="fig:016"/>
      <w:r>
        <w:drawing>
          <wp:inline>
            <wp:extent cx="5334000" cy="3333750"/>
            <wp:effectExtent b="0" l="0" r="0" t="0"/>
            <wp:docPr descr="Рис. 16: Детектирование Remote Desktop Protocol" title="" id="94" name="Picture"/>
            <a:graphic>
              <a:graphicData uri="http://schemas.openxmlformats.org/drawingml/2006/picture">
                <pic:pic>
                  <pic:nvPicPr>
                    <pic:cNvPr descr="image/o_3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16: Детектирование Remote Desktop Protocol</w:t>
      </w:r>
    </w:p>
    <w:p>
      <w:pPr>
        <w:pStyle w:val="BodyText"/>
      </w:pPr>
      <w:r>
        <w:t xml:space="preserve">Заполним карточку третьего инцидента(рис. 17).</w:t>
      </w:r>
    </w:p>
    <w:p>
      <w:pPr>
        <w:pStyle w:val="CaptionedFigure"/>
      </w:pPr>
      <w:bookmarkStart w:id="100" w:name="fig:017"/>
      <w:r>
        <w:drawing>
          <wp:inline>
            <wp:extent cx="5334000" cy="3161782"/>
            <wp:effectExtent b="0" l="0" r="0" t="0"/>
            <wp:docPr descr="Рис. 17: Карточка третьего инцидента" title="" id="98" name="Picture"/>
            <a:graphic>
              <a:graphicData uri="http://schemas.openxmlformats.org/drawingml/2006/picture">
                <pic:pic>
                  <pic:nvPicPr>
                    <pic:cNvPr descr="image/c_3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17: Карточка третьего инцидента</w:t>
      </w:r>
    </w:p>
    <w:bookmarkEnd w:id="101"/>
    <w:bookmarkStart w:id="106" w:name="X804f4986169d88b09db17ea1a521bda4000f575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Устранение уязвимости</w:t>
      </w:r>
      <w:r>
        <w:t xml:space="preserve"> </w:t>
      </w:r>
      <w:r>
        <w:t xml:space="preserve">“</w:t>
      </w:r>
      <w:r>
        <w:t xml:space="preserve">Слабый пароль учетной записи</w:t>
      </w:r>
      <w:r>
        <w:t xml:space="preserve">”</w:t>
      </w:r>
    </w:p>
    <w:p>
      <w:pPr>
        <w:pStyle w:val="FirstParagraph"/>
      </w:pPr>
      <w:r>
        <w:t xml:space="preserve">Решение: изменить пароль к учетной записи администратора на более сложный, не содержащийся в словарях(рис. 18).</w:t>
      </w:r>
    </w:p>
    <w:p>
      <w:pPr>
        <w:pStyle w:val="CaptionedFigure"/>
      </w:pPr>
      <w:bookmarkStart w:id="105" w:name="fig:018"/>
      <w:r>
        <w:drawing>
          <wp:inline>
            <wp:extent cx="3685880" cy="1206630"/>
            <wp:effectExtent b="0" l="0" r="0" t="0"/>
            <wp:docPr descr="Рис. 18: Изменение пароля администратора" title="" id="103" name="Picture"/>
            <a:graphic>
              <a:graphicData uri="http://schemas.openxmlformats.org/drawingml/2006/picture">
                <pic:pic>
                  <pic:nvPicPr>
                    <pic:cNvPr descr="image/p_3_1_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80" cy="1206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18: Изменение пароля администратора</w:t>
      </w:r>
    </w:p>
    <w:p>
      <w:pPr>
        <w:pStyle w:val="BodyText"/>
      </w:pPr>
      <w:r>
        <w:t xml:space="preserve">На вышеупомянутом рисунке изображена смена пароля администратора на узле MS Active Directory командой «net user Administrator *». В результате изменения ненадежного пароля уязвимость успешно устранена</w:t>
      </w:r>
      <w:r>
        <w:t xml:space="preserve">[4]</w:t>
      </w:r>
      <w:r>
        <w:t xml:space="preserve">.</w:t>
      </w:r>
    </w:p>
    <w:bookmarkEnd w:id="106"/>
    <w:bookmarkStart w:id="123" w:name="последствие-ad-user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Последствие AD User</w:t>
      </w:r>
    </w:p>
    <w:p>
      <w:pPr>
        <w:pStyle w:val="FirstParagraph"/>
      </w:pPr>
      <w:r>
        <w:t xml:space="preserve">Добавление нового привилегированного пользователя можно отследить с помощью аудита событий входа в учетную запись Windows security, где появится событие с ID 4720. Необходимо перейти в Event Viewer и в Windows Logs – Security, затем применить фильтр на логи. Ниже показан лог, генерируемый при добавлении нового пользователя(рис. 19).</w:t>
      </w:r>
    </w:p>
    <w:p>
      <w:pPr>
        <w:pStyle w:val="CaptionedFigure"/>
      </w:pPr>
      <w:bookmarkStart w:id="110" w:name="fig:019"/>
      <w:r>
        <w:drawing>
          <wp:inline>
            <wp:extent cx="5334000" cy="3743157"/>
            <wp:effectExtent b="0" l="0" r="0" t="0"/>
            <wp:docPr descr="Рис. 19: Лог добавления нового пользователя" title="" id="108" name="Picture"/>
            <a:graphic>
              <a:graphicData uri="http://schemas.openxmlformats.org/drawingml/2006/picture">
                <pic:pic>
                  <pic:nvPicPr>
                    <pic:cNvPr descr="image/p_3_1_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19: Лог добавления нового пользователя</w:t>
      </w:r>
    </w:p>
    <w:p>
      <w:pPr>
        <w:pStyle w:val="BodyText"/>
      </w:pPr>
      <w:r>
        <w:t xml:space="preserve">Для удаления пользователя необходимо зайти в Administrative Tools – Active Directory Users and computers. Затем во вкладке Users найти и удалить нового привилегированного пользователя с именем «Hacked»(рис. 20 - рис. 21).</w:t>
      </w:r>
    </w:p>
    <w:p>
      <w:pPr>
        <w:pStyle w:val="CaptionedFigure"/>
      </w:pPr>
      <w:bookmarkStart w:id="114" w:name="fig:020"/>
      <w:r>
        <w:drawing>
          <wp:inline>
            <wp:extent cx="5334000" cy="3059451"/>
            <wp:effectExtent b="0" l="0" r="0" t="0"/>
            <wp:docPr descr="Рис. 20: Удаление пользователя hacker в AD User &amp; Computers" title="" id="112" name="Picture"/>
            <a:graphic>
              <a:graphicData uri="http://schemas.openxmlformats.org/drawingml/2006/picture">
                <pic:pic>
                  <pic:nvPicPr>
                    <pic:cNvPr descr="image/p_3_1_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20: Удаление пользователя hacker в AD User &amp; Computers</w:t>
      </w:r>
    </w:p>
    <w:p>
      <w:pPr>
        <w:pStyle w:val="CaptionedFigure"/>
      </w:pPr>
      <w:bookmarkStart w:id="118" w:name="fig:021"/>
      <w:r>
        <w:drawing>
          <wp:inline>
            <wp:extent cx="3808428" cy="1536569"/>
            <wp:effectExtent b="0" l="0" r="0" t="0"/>
            <wp:docPr descr="Рис. 21: Удаление пользователя hacker в AD User &amp; Computers" title="" id="116" name="Picture"/>
            <a:graphic>
              <a:graphicData uri="http://schemas.openxmlformats.org/drawingml/2006/picture">
                <pic:pic>
                  <pic:nvPicPr>
                    <pic:cNvPr descr="image/p_3_1_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428" cy="1536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21: Удаление пользователя hacker в AD User &amp; Computers</w:t>
      </w:r>
    </w:p>
    <w:p>
      <w:pPr>
        <w:pStyle w:val="BodyText"/>
      </w:pPr>
      <w:r>
        <w:t xml:space="preserve">В результате выполнения вышеупомянутых действий привилегированный пользователь удален, последствие AD User успешно устранено</w:t>
      </w:r>
      <w:r>
        <w:t xml:space="preserve">[4]</w:t>
      </w:r>
      <w:r>
        <w:t xml:space="preserve">.</w:t>
      </w:r>
    </w:p>
    <w:p>
      <w:pPr>
        <w:pStyle w:val="BodyText"/>
      </w:pPr>
      <w:r>
        <w:t xml:space="preserve">Результат проделанной работы(рис. 22).</w:t>
      </w:r>
    </w:p>
    <w:p>
      <w:pPr>
        <w:pStyle w:val="CaptionedFigure"/>
      </w:pPr>
      <w:bookmarkStart w:id="122" w:name="fig:022"/>
      <w:r>
        <w:drawing>
          <wp:inline>
            <wp:extent cx="5334000" cy="4621410"/>
            <wp:effectExtent b="0" l="0" r="0" t="0"/>
            <wp:docPr descr="Рис. 22: Результат проделанной работы" title="" id="120" name="Picture"/>
            <a:graphic>
              <a:graphicData uri="http://schemas.openxmlformats.org/drawingml/2006/picture">
                <pic:pic>
                  <pic:nvPicPr>
                    <pic:cNvPr descr="image/res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1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22: Результат проделанной работы</w:t>
      </w:r>
    </w:p>
    <w:bookmarkEnd w:id="123"/>
    <w:bookmarkEnd w:id="124"/>
    <w:bookmarkEnd w:id="125"/>
    <w:bookmarkStart w:id="126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лабораторной работы мы выполнили тренировку</w:t>
      </w:r>
      <w:r>
        <w:t xml:space="preserve"> </w:t>
      </w:r>
      <w:r>
        <w:t xml:space="preserve">“</w:t>
      </w:r>
      <w:r>
        <w:t xml:space="preserve">Защита контроллера домена предприятия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освоили практические навыки выявления, анализа и устранения уязвимостей в различных системах, а также освоили навыки отработки действий по нейтрализации последствий успешных атак.</w:t>
      </w:r>
    </w:p>
    <w:bookmarkEnd w:id="126"/>
    <w:bookmarkStart w:id="132" w:name="список-литературы"/>
    <w:p>
      <w:pPr>
        <w:pStyle w:val="Heading1"/>
      </w:pPr>
      <w:r>
        <w:t xml:space="preserve">Список литературы</w:t>
      </w:r>
    </w:p>
    <w:bookmarkStart w:id="131" w:name="refs"/>
    <w:bookmarkStart w:id="127" w:name="ref-am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AM Threat Intelligence Portal [Электронный ресурс].</w:t>
      </w:r>
    </w:p>
    <w:bookmarkEnd w:id="127"/>
    <w:bookmarkStart w:id="128" w:name="ref-leg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Легенда сценария [Электронный ресурс].</w:t>
      </w:r>
    </w:p>
    <w:bookmarkEnd w:id="128"/>
    <w:bookmarkStart w:id="129" w:name="ref-vip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 Руководство администратора [Электронный ресурс].</w:t>
      </w:r>
    </w:p>
    <w:bookmarkEnd w:id="129"/>
    <w:bookmarkStart w:id="130" w:name="ref-met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Методическое пособие преподавателя [Электронный ресурс].</w:t>
      </w:r>
    </w:p>
    <w:bookmarkEnd w:id="130"/>
    <w:bookmarkEnd w:id="131"/>
    <w:bookmarkEnd w:id="1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png" /><Relationship Type="http://schemas.openxmlformats.org/officeDocument/2006/relationships/image" Id="rId65" Target="media/rId65.png" /><Relationship Type="http://schemas.openxmlformats.org/officeDocument/2006/relationships/image" Id="rId97" Target="media/rId97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61" Target="media/rId61.png" /><Relationship Type="http://schemas.openxmlformats.org/officeDocument/2006/relationships/image" Id="rId93" Target="media/rId93.png" /><Relationship Type="http://schemas.openxmlformats.org/officeDocument/2006/relationships/image" Id="rId55" Target="media/rId55.png" /><Relationship Type="http://schemas.openxmlformats.org/officeDocument/2006/relationships/image" Id="rId87" Target="media/rId87.png" /><Relationship Type="http://schemas.openxmlformats.org/officeDocument/2006/relationships/image" Id="rId83" Target="media/rId83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jpg" /><Relationship Type="http://schemas.openxmlformats.org/officeDocument/2006/relationships/image" Id="rId46" Target="media/rId46.png" /><Relationship Type="http://schemas.openxmlformats.org/officeDocument/2006/relationships/image" Id="rId42" Target="media/rId42.png" /><Relationship Type="http://schemas.openxmlformats.org/officeDocument/2006/relationships/image" Id="rId50" Target="media/rId50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НКНбд-01-22;; Аристид Жан,; Акопян Сатеник,; Кадров Виктор,; Нве Манге Хосе Херсон Мико,; Эспиноса Висилита Кристина Микаела,; НПИбд-01-22;; Стариков Данила,; НФИбд-02-22;; Чемоданова Ангелина</dc:creator>
  <dc:language>ru-RU</dc:language>
  <cp:keywords/>
  <dcterms:created xsi:type="dcterms:W3CDTF">2025-10-28T08:03:38Z</dcterms:created>
  <dcterms:modified xsi:type="dcterms:W3CDTF">2025-10-28T08:03:38Z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List of Tables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IBM Plex Serif</vt:lpwstr>
  </property>
  <property fmtid="{D5CDD505-2E9C-101B-9397-08002B2CF9AE}" pid="51" name="mainfontoptions">
    <vt:lpwstr>Ligatures=Common,Ligatures=TeX,Scale=0.94</vt:lpwstr>
  </property>
  <property fmtid="{D5CDD505-2E9C-101B-9397-08002B2CF9AE}" pid="52" name="mathfont">
    <vt:lpwstr>STIX Two Math</vt:lpwstr>
  </property>
  <property fmtid="{D5CDD505-2E9C-101B-9397-08002B2CF9AE}" pid="53" name="mathfontoptions">
    <vt:lpwstr/>
  </property>
  <property fmtid="{D5CDD505-2E9C-101B-9397-08002B2CF9AE}" pid="54" name="monofont">
    <vt:lpwstr>IBM Plex Mono</vt:lpwstr>
  </property>
  <property fmtid="{D5CDD505-2E9C-101B-9397-08002B2CF9AE}" pid="55" name="monofontoptions">
    <vt:lpwstr>Scale=MatchLowercase,Scale=0.94,FakeStretch=0.9</vt:lpwstr>
  </property>
  <property fmtid="{D5CDD505-2E9C-101B-9397-08002B2CF9AE}" pid="56" name="nameInLink">
    <vt:lpwstr>False</vt:lpwstr>
  </property>
  <property fmtid="{D5CDD505-2E9C-101B-9397-08002B2CF9AE}" pid="57" name="numberSections">
    <vt:lpwstr>False</vt:lpwstr>
  </property>
  <property fmtid="{D5CDD505-2E9C-101B-9397-08002B2CF9AE}" pid="58" name="pairDelim">
    <vt:lpwstr>, </vt:lpwstr>
  </property>
  <property fmtid="{D5CDD505-2E9C-101B-9397-08002B2CF9AE}" pid="59" name="papersize">
    <vt:lpwstr>a4</vt:lpwstr>
  </property>
  <property fmtid="{D5CDD505-2E9C-101B-9397-08002B2CF9AE}" pid="60" name="polyglossia-lang">
    <vt:lpwstr/>
  </property>
  <property fmtid="{D5CDD505-2E9C-101B-9397-08002B2CF9AE}" pid="61" name="polyglossia-otherlangs">
    <vt:lpwstr/>
  </property>
  <property fmtid="{D5CDD505-2E9C-101B-9397-08002B2CF9AE}" pid="62" name="rangeDelim">
    <vt:lpwstr>-</vt:lpwstr>
  </property>
  <property fmtid="{D5CDD505-2E9C-101B-9397-08002B2CF9AE}" pid="63" name="refDelim">
    <vt:lpwstr>, </vt:lpwstr>
  </property>
  <property fmtid="{D5CDD505-2E9C-101B-9397-08002B2CF9AE}" pid="64" name="refIndexTemplate">
    <vt:lpwstr>isuf</vt:lpwstr>
  </property>
  <property fmtid="{D5CDD505-2E9C-101B-9397-08002B2CF9AE}" pid="65" name="romanfont">
    <vt:lpwstr>IBM Plex Serif</vt:lpwstr>
  </property>
  <property fmtid="{D5CDD505-2E9C-101B-9397-08002B2CF9AE}" pid="66" name="romanfontoptions">
    <vt:lpwstr>Ligatures=Common,Ligatures=TeX,Scale=0.94</vt:lpwstr>
  </property>
  <property fmtid="{D5CDD505-2E9C-101B-9397-08002B2CF9AE}" pid="67" name="sansfont">
    <vt:lpwstr>IBM Plex Sans</vt:lpwstr>
  </property>
  <property fmtid="{D5CDD505-2E9C-101B-9397-08002B2CF9AE}" pid="68" name="sansfontoptions">
    <vt:lpwstr>Ligatures=Common,Ligatures=TeX,Scale=MatchLowercase,Scale=0.94</vt:lpwstr>
  </property>
  <property fmtid="{D5CDD505-2E9C-101B-9397-08002B2CF9AE}" pid="69" name="secHeaderDelim">
    <vt:lpwstr> </vt:lpwstr>
  </property>
  <property fmtid="{D5CDD505-2E9C-101B-9397-08002B2CF9AE}" pid="70" name="secHeaderTemplate">
    <vt:lpwstr>isecHeaderDelim[n]t</vt:lpwstr>
  </property>
  <property fmtid="{D5CDD505-2E9C-101B-9397-08002B2CF9AE}" pid="71" name="secLabels">
    <vt:lpwstr>arabic</vt:lpwstr>
  </property>
  <property fmtid="{D5CDD505-2E9C-101B-9397-08002B2CF9AE}" pid="72" name="secPrefix">
    <vt:lpwstr/>
  </property>
  <property fmtid="{D5CDD505-2E9C-101B-9397-08002B2CF9AE}" pid="73" name="secPrefixTemplate">
    <vt:lpwstr>p i</vt:lpwstr>
  </property>
  <property fmtid="{D5CDD505-2E9C-101B-9397-08002B2CF9AE}" pid="74" name="sectionsDepth">
    <vt:lpwstr>0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">
    <vt:lpwstr>Кибербезопасность предприятия</vt:lpwstr>
  </property>
  <property fmtid="{D5CDD505-2E9C-101B-9397-08002B2CF9AE}" pid="81" name="tableEqns">
    <vt:lpwstr>False</vt:lpwstr>
  </property>
  <property fmtid="{D5CDD505-2E9C-101B-9397-08002B2CF9AE}" pid="82" name="tableTemplate">
    <vt:lpwstr>tableTitle ititleDelim t</vt:lpwstr>
  </property>
  <property fmtid="{D5CDD505-2E9C-101B-9397-08002B2CF9AE}" pid="83" name="tableTitle">
    <vt:lpwstr>Таблица</vt:lpwstr>
  </property>
  <property fmtid="{D5CDD505-2E9C-101B-9397-08002B2CF9AE}" pid="84" name="tblLabels">
    <vt:lpwstr>arabic</vt:lpwstr>
  </property>
  <property fmtid="{D5CDD505-2E9C-101B-9397-08002B2CF9AE}" pid="85" name="tblPrefix">
    <vt:lpwstr/>
  </property>
  <property fmtid="{D5CDD505-2E9C-101B-9397-08002B2CF9AE}" pid="86" name="tblPrefixTemplate">
    <vt:lpwstr>p i</vt:lpwstr>
  </property>
  <property fmtid="{D5CDD505-2E9C-101B-9397-08002B2CF9AE}" pid="87" name="titleDelim">
    <vt:lpwstr>:</vt:lpwstr>
  </property>
  <property fmtid="{D5CDD505-2E9C-101B-9397-08002B2CF9AE}" pid="88" name="toc">
    <vt:lpwstr>True</vt:lpwstr>
  </property>
  <property fmtid="{D5CDD505-2E9C-101B-9397-08002B2CF9AE}" pid="89" name="toc-depth">
    <vt:lpwstr>2</vt:lpwstr>
  </property>
  <property fmtid="{D5CDD505-2E9C-101B-9397-08002B2CF9AE}" pid="90" name="toc-title">
    <vt:lpwstr>Содержание</vt:lpwstr>
  </property>
</Properties>
</file>